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33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0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8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1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17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37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97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36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2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